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9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CURRENT REPORT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Pursuant to Section 13 or 15(d) of</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The Securities Exchange Act of 1934</w:t>
      </w:r>
    </w:p>
    <w:p>
      <w:pPr>
        <w:pStyle w:val="TextBody"/>
        <w:bidi w:val="0"/>
        <w:spacing w:lineRule="auto" w:line="288" w:before="160" w:after="283"/>
        <w:jc w:val="center"/>
        <w:rPr>
          <w:rFonts w:ascii="Times New Roman;serif" w:hAnsi="Times New Roman;serif"/>
          <w:b w:val="false"/>
          <w:color w:val="000000"/>
          <w:sz w:val="18"/>
        </w:rPr>
      </w:pPr>
      <w:r>
        <w:rPr>
          <w:rFonts w:ascii="Times New Roman;serif" w:hAnsi="Times New Roman;serif"/>
          <w:b w:val="false"/>
          <w:color w:val="000000"/>
          <w:sz w:val="18"/>
        </w:rPr>
        <w:t>Date of Report (Date of earliest event reported)</w:t>
      </w:r>
    </w:p>
    <w:p>
      <w:pPr>
        <w:pStyle w:val="TextBody"/>
        <w:bidi w:val="0"/>
        <w:spacing w:lineRule="auto" w:line="331" w:before="60" w:after="200"/>
        <w:jc w:val="center"/>
        <w:rPr>
          <w:rFonts w:ascii="Times New Roman;serif" w:hAnsi="Times New Roman;serif"/>
          <w:b/>
          <w:color w:val="000000"/>
          <w:sz w:val="18"/>
        </w:rPr>
      </w:pPr>
      <w:r>
        <w:rPr>
          <w:rFonts w:ascii="Times New Roman;serif" w:hAnsi="Times New Roman;serif"/>
          <w:b/>
          <w:color w:val="000000"/>
          <w:sz w:val="18"/>
        </w:rPr>
        <w:t>June 2, 2026</w:t>
      </w:r>
    </w:p>
    <w:p>
      <w:pPr>
        <w:pStyle w:val="TextBody"/>
        <w:bidi w:val="0"/>
        <w:spacing w:lineRule="auto" w:line="288" w:before="0" w:after="180"/>
        <w:jc w:val="center"/>
        <w:rPr>
          <w:color w:val="000000"/>
        </w:rPr>
      </w:pPr>
      <w:r>
        <w:rPr>
          <w:color w:val="000000"/>
        </w:rPr>
        <w:t> </w:t>
      </w:r>
      <w:r>
        <w:rPr>
          <w:rFonts w:ascii="Times New Roman;serif" w:hAnsi="Times New Roman;serif"/>
          <w:b w:val="false"/>
          <w:color w:val="000000"/>
          <w:sz w:val="12"/>
        </w:rPr>
        <w:t>_____________________</w:t>
      </w:r>
    </w:p>
    <w:p>
      <w:pPr>
        <w:pStyle w:val="TextBody"/>
        <w:bidi w:val="0"/>
        <w:spacing w:lineRule="auto" w:line="288" w:before="90" w:after="283"/>
        <w:jc w:val="center"/>
        <w:rPr>
          <w:rFonts w:ascii="Times New Roman;serif" w:hAnsi="Times New Roman;serif"/>
          <w:b/>
          <w:color w:val="000000"/>
          <w:sz w:val="48"/>
        </w:rPr>
      </w:pPr>
      <w:r>
        <w:rPr>
          <w:rFonts w:ascii="Times New Roman;serif" w:hAnsi="Times New Roman;serif"/>
          <w:b/>
          <w:color w:val="000000"/>
          <w:sz w:val="48"/>
        </w:rPr>
        <w:t xml:space="preserve">PALO ALTO NETWORKS,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(Exact name of registrant as specified in its charter) </w:t>
      </w:r>
    </w:p>
    <w:p>
      <w:pPr>
        <w:pStyle w:val="TextBody"/>
        <w:bidi w:val="0"/>
        <w:spacing w:lineRule="auto" w:line="288" w:before="0" w:after="0"/>
        <w:jc w:val="center"/>
        <w:rPr>
          <w:color w:val="000000"/>
        </w:rPr>
      </w:pPr>
      <w:r>
        <w:rPr>
          <w:color w:val="000000"/>
        </w:rPr>
        <w:t> </w:t>
      </w:r>
    </w:p>
    <w:tbl>
      <w:tblPr>
        <w:tblW w:w="4783" w:type="dxa"/>
        <w:jc w:val="center"/>
        <w:tblInd w:w="0" w:type="dxa"/>
        <w:tblLayout w:type="fixed"/>
        <w:tblCellMar>
          <w:top w:w="28" w:type="dxa"/>
          <w:left w:w="28" w:type="dxa"/>
          <w:bottom w:w="28" w:type="dxa"/>
          <w:right w:w="28" w:type="dxa"/>
        </w:tblCellMar>
      </w:tblPr>
      <w:tblGrid>
        <w:gridCol w:w="671"/>
        <w:gridCol w:w="590"/>
        <w:gridCol w:w="598"/>
        <w:gridCol w:w="559"/>
        <w:gridCol w:w="559"/>
        <w:gridCol w:w="562"/>
        <w:gridCol w:w="363"/>
        <w:gridCol w:w="363"/>
        <w:gridCol w:w="518"/>
      </w:tblGrid>
      <w:tr>
        <w:trPr/>
        <w:tc>
          <w:tcPr>
            <w:tcW w:w="67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001-35594</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20-2530195</w:t>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(State or other jurisdiction of</w:t>
              <w:br/>
              <w:t>incorporation)</w:t>
            </w:r>
          </w:p>
        </w:tc>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(Commission File Number)</w:t>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(IRS Employer</w:t>
              <w:br/>
              <w:t>Identification No.)</w:t>
            </w:r>
          </w:p>
        </w:tc>
      </w:tr>
      <w:tr>
        <w:trPr/>
        <w:tc>
          <w:tcPr>
            <w:tcW w:w="1859" w:type="dxa"/>
            <w:gridSpan w:val="3"/>
            <w:tcBorders/>
            <w:vAlign w:val="center"/>
          </w:tcPr>
          <w:p>
            <w:pPr>
              <w:pStyle w:val="TableContents"/>
              <w:bidi w:val="0"/>
              <w:spacing w:before="0" w:after="283"/>
              <w:jc w:val="left"/>
              <w:rPr>
                <w:sz w:val="4"/>
                <w:szCs w:val="4"/>
              </w:rPr>
            </w:pPr>
            <w:r>
              <w:rPr>
                <w:sz w:val="4"/>
                <w:szCs w:val="4"/>
              </w:rPr>
            </w:r>
          </w:p>
        </w:tc>
        <w:tc>
          <w:tcPr>
            <w:tcW w:w="2924" w:type="dxa"/>
            <w:gridSpan w:val="6"/>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3000 Tannery Way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Santa Clara, California 95054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(Address of principal executive office, including zip code)</w:t>
      </w:r>
    </w:p>
    <w:p>
      <w:pPr>
        <w:pStyle w:val="TextBody"/>
        <w:bidi w:val="0"/>
        <w:spacing w:lineRule="auto" w:line="288" w:before="180" w:after="283"/>
        <w:jc w:val="center"/>
        <w:rPr>
          <w:rFonts w:ascii="Times New Roman;serif" w:hAnsi="Times New Roman;serif"/>
          <w:b/>
          <w:color w:val="000000"/>
          <w:sz w:val="18"/>
        </w:rPr>
      </w:pPr>
      <w:r>
        <w:rPr>
          <w:rFonts w:ascii="Times New Roman;serif" w:hAnsi="Times New Roman;serif"/>
          <w:b/>
          <w:color w:val="000000"/>
          <w:sz w:val="18"/>
        </w:rPr>
        <w:t xml:space="preserve">(408) 753-4000 </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 xml:space="preserve">(Registrant’s telephone number, including area code) </w:t>
      </w:r>
    </w:p>
    <w:p>
      <w:pPr>
        <w:pStyle w:val="TextBody"/>
        <w:bidi w:val="0"/>
        <w:spacing w:lineRule="auto" w:line="288" w:before="90" w:after="283"/>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0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288" w:before="0" w:after="16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417" w:before="0" w:after="160"/>
        <w:jc w:val="center"/>
        <w:rPr>
          <w:rFonts w:ascii="Times New Roman;serif" w:hAnsi="Times New Roman;serif"/>
          <w:b/>
          <w:color w:val="000000"/>
          <w:sz w:val="14"/>
        </w:rPr>
      </w:pPr>
      <w:r>
        <w:rPr>
          <w:rFonts w:ascii="Times New Roman;serif" w:hAnsi="Times New Roman;serif"/>
          <w:b/>
          <w:color w:val="000000"/>
          <w:sz w:val="14"/>
        </w:rPr>
        <w:t>Securities registered pursuant to Section 12(b) of the Act:</w:t>
      </w:r>
    </w:p>
    <w:tbl>
      <w:tblPr>
        <w:tblW w:w="8631" w:type="dxa"/>
        <w:jc w:val="center"/>
        <w:tblInd w:w="0" w:type="dxa"/>
        <w:tblLayout w:type="fixed"/>
        <w:tblCellMar>
          <w:top w:w="28" w:type="dxa"/>
          <w:left w:w="28" w:type="dxa"/>
          <w:bottom w:w="28" w:type="dxa"/>
          <w:right w:w="28" w:type="dxa"/>
        </w:tblCellMar>
      </w:tblPr>
      <w:tblGrid>
        <w:gridCol w:w="1160"/>
        <w:gridCol w:w="1018"/>
        <w:gridCol w:w="1031"/>
        <w:gridCol w:w="109"/>
        <w:gridCol w:w="109"/>
        <w:gridCol w:w="109"/>
        <w:gridCol w:w="484"/>
        <w:gridCol w:w="484"/>
        <w:gridCol w:w="486"/>
        <w:gridCol w:w="109"/>
        <w:gridCol w:w="109"/>
        <w:gridCol w:w="109"/>
        <w:gridCol w:w="970"/>
        <w:gridCol w:w="970"/>
        <w:gridCol w:w="1374"/>
      </w:tblGrid>
      <w:tr>
        <w:trPr/>
        <w:tc>
          <w:tcPr>
            <w:tcW w:w="1160"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PANW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before="0" w:after="0"/>
        <w:jc w:val="center"/>
        <w:rPr/>
      </w:pPr>
      <w:r>
        <w:rPr/>
      </w:r>
    </w:p>
    <w:p>
      <w:pPr>
        <w:pStyle w:val="TextBody"/>
        <w:bidi w:val="0"/>
        <w:spacing w:lineRule="auto" w:line="288" w:before="0" w:after="1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60"/>
        <w:jc w:val="left"/>
        <w:rPr/>
      </w:pPr>
      <w:r>
        <w:rPr>
          <w:rFonts w:ascii="Times New Roman;serif" w:hAnsi="Times New Roman;serif"/>
          <w:b w:val="false"/>
          <w:color w:val="000000"/>
          <w:sz w:val="18"/>
        </w:rPr>
        <w:t>Emerging growth company  </w:t>
      </w:r>
      <w:r>
        <w:rPr>
          <w:color w:val="000000"/>
        </w:rPr>
        <w:t xml:space="preserve">☐ </w:t>
      </w:r>
    </w:p>
    <w:p>
      <w:pPr>
        <w:pStyle w:val="TextBody"/>
        <w:bidi w:val="0"/>
        <w:spacing w:lineRule="auto" w:line="288" w:before="0" w:after="16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June 2, 2026, Palo Alto Networks, Inc. (the “Company”) issued a press release announcing its financial results for its third quarter ended April 30, 2026. A copy of the press release is furnished herewith as Exhibit 99.1 and is incorporated herein by reference. </w:t>
      </w:r>
    </w:p>
    <w:p>
      <w:pPr>
        <w:pStyle w:val="TextBody"/>
        <w:bidi w:val="0"/>
        <w:spacing w:lineRule="auto" w:line="288" w:before="18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(d) Exhibits.</w:t>
      </w:r>
    </w:p>
    <w:tbl>
      <w:tblPr>
        <w:tblW w:w="6105" w:type="dxa"/>
        <w:jc w:val="left"/>
        <w:tblInd w:w="0" w:type="dxa"/>
        <w:tblLayout w:type="fixed"/>
        <w:tblCellMar>
          <w:top w:w="28" w:type="dxa"/>
          <w:left w:w="28" w:type="dxa"/>
          <w:bottom w:w="28" w:type="dxa"/>
          <w:right w:w="28" w:type="dxa"/>
        </w:tblCellMar>
      </w:tblPr>
      <w:tblGrid>
        <w:gridCol w:w="391"/>
        <w:gridCol w:w="344"/>
        <w:gridCol w:w="345"/>
        <w:gridCol w:w="1468"/>
        <w:gridCol w:w="1468"/>
        <w:gridCol w:w="2089"/>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5025" w:type="dxa"/>
            <w:gridSpan w:val="3"/>
            <w:tcBorders/>
            <w:tcMar>
              <w:top w:w="0" w:type="dxa"/>
              <w:left w:w="0" w:type="dxa"/>
              <w:bottom w:w="0" w:type="dxa"/>
              <w:right w:w="0" w:type="dxa"/>
            </w:tcMar>
            <w:vAlign w:val="center"/>
          </w:tcPr>
          <w:p>
            <w:pPr>
              <w:pStyle w:val="TableContents"/>
              <w:bidi w:val="0"/>
              <w:spacing w:lineRule="auto" w:line="240" w:before="24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 of Exhibit</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991q326earningsrelease.htm">
              <w:r>
                <w:rPr>
                  <w:rStyle w:val="InternetLink"/>
                  <w:rFonts w:ascii="Times New Roman;serif" w:hAnsi="Times New Roman;serif"/>
                  <w:b w:val="false"/>
                  <w:color w:val="0000FF"/>
                  <w:sz w:val="20"/>
                  <w:u w:val="single"/>
                </w:rPr>
                <w:t>99.1</w:t>
              </w:r>
            </w:hyperlink>
          </w:p>
        </w:tc>
        <w:tc>
          <w:tcPr>
            <w:tcW w:w="50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Press release dated as of June 2, 2026</w:t>
            </w:r>
          </w:p>
        </w:tc>
      </w:tr>
      <w:tr>
        <w:trPr/>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5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pPr>
      <w:r>
        <w:rPr/>
      </w:r>
    </w:p>
    <w:tbl>
      <w:tblPr>
        <w:tblW w:w="3675" w:type="dxa"/>
        <w:jc w:val="left"/>
        <w:tblInd w:w="0" w:type="dxa"/>
        <w:tblLayout w:type="fixed"/>
        <w:tblCellMar>
          <w:top w:w="28" w:type="dxa"/>
          <w:left w:w="28" w:type="dxa"/>
          <w:bottom w:w="28" w:type="dxa"/>
          <w:right w:w="28" w:type="dxa"/>
        </w:tblCellMar>
      </w:tblPr>
      <w:tblGrid>
        <w:gridCol w:w="151"/>
        <w:gridCol w:w="134"/>
        <w:gridCol w:w="135"/>
        <w:gridCol w:w="953"/>
        <w:gridCol w:w="953"/>
        <w:gridCol w:w="134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PALO ALTO NETWORKS, INC.</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5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/s/ N</w:t>
            </w:r>
            <w:r>
              <w:rPr>
                <w:rFonts w:ascii="Times New Roman;serif" w:hAnsi="Times New Roman;serif"/>
                <w:b w:val="false"/>
                <w:color w:val="000000"/>
                <w:sz w:val="16"/>
              </w:rPr>
              <w:t>IKESH</w:t>
            </w:r>
            <w:r>
              <w:rPr>
                <w:color w:val="000000"/>
              </w:rPr>
              <w:t xml:space="preserve"> </w:t>
            </w:r>
            <w:r>
              <w:rPr>
                <w:rFonts w:ascii="Times New Roman;serif" w:hAnsi="Times New Roman;serif"/>
                <w:b w:val="false"/>
                <w:color w:val="000000"/>
                <w:sz w:val="20"/>
              </w:rPr>
              <w:t>A</w:t>
            </w:r>
            <w:r>
              <w:rPr>
                <w:rFonts w:ascii="Times New Roman;serif" w:hAnsi="Times New Roman;serif"/>
                <w:b w:val="false"/>
                <w:color w:val="000000"/>
                <w:sz w:val="16"/>
              </w:rPr>
              <w:t>RORA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Nikesh Arora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June 2, 2026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0"/>
        <w:ind w:left="0" w:right="0" w:firstLine="72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before="0" w:after="0"/>
        <w:jc w:val="right"/>
        <w:rPr/>
      </w:pPr>
      <w:r>
        <w:rPr/>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Palo Alto Networks Reports Fiscal Third Quarter 2026 Financial Results</w:t>
      </w:r>
    </w:p>
    <w:p>
      <w:pPr>
        <w:pStyle w:val="TextBody"/>
        <w:bidi w:val="0"/>
        <w:spacing w:before="0" w:after="0"/>
        <w:jc w:val="left"/>
        <w:rPr/>
      </w:pPr>
      <w:r>
        <w:rPr/>
      </w:r>
    </w:p>
    <w:p>
      <w:pPr>
        <w:pStyle w:val="TextBody"/>
        <w:bidi w:val="0"/>
        <w:spacing w:lineRule="auto" w:line="415" w:before="0" w:after="0"/>
        <w:jc w:val="left"/>
        <w:rPr/>
      </w:pPr>
      <w:r>
        <w:rPr>
          <w:rFonts w:ascii="Arial;sans-serif" w:hAnsi="Arial;sans-serif"/>
          <w:b/>
          <w:color w:val="000000"/>
          <w:sz w:val="24"/>
        </w:rPr>
        <w:t>SANTA CLARA, Calif., Jun. 2, 2026</w:t>
      </w:r>
      <w:r>
        <w:rPr>
          <w:color w:val="000000"/>
        </w:rPr>
        <w:t xml:space="preserve"> — </w:t>
      </w:r>
      <w:r>
        <w:rPr>
          <w:rFonts w:ascii="Arial;sans-serif" w:hAnsi="Arial;sans-serif"/>
          <w:b w:val="false"/>
          <w:color w:val="000000"/>
          <w:sz w:val="24"/>
        </w:rPr>
        <w:t>Palo Alto Networks (NASDAQ: PANW), the global cybersecurity leader, announced today financial results for its fiscal third quarter 2026, ended April 30, 2026.</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"Q3 was a standout quarter for Palo Alto Networks, with accelerating organic bookings growth as customers turn to us to secure their AI deployments at scale," said Nikesh Arora, chairman and chief executive officer of Palo Alto Networks. "The latest advancements at the AI frontier have increased the level of urgency around cybersecurity, and redefined the shape of the industry for the coming years."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"Our Q3 results reflect strong growth across each of our platforms as we scale. We are executing ahead of our M&amp;A integration plans and improving profitability across our businesses, which keeps us firmly on track to achieve 40% adjusted free cash flow margin in FY28," said Dipak Golechha, chief financial officer of Palo Alto Networks.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Third Quarter Fiscal 2026 Financial Highlights</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 xml:space="preserve">Total revenue for the fiscal third quarter 2026 grew 31% year over year to $3.0 billion. This includes $388 million from CyberArk and Chronosphere. </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Next-Generation Security ARR for the fiscal third quarter 2026 grew 60% year over year to $8.1 billion. This includes $1.6 billion in NGS ARR from CyberArk and Chronosphere.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Remaining performance obligation grew 36% year over year to $18.4 billion. This includes $1.8 billion from CyberArk and Chronosphere.</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GAAP operating loss for the fiscal third quarter 2026 was $183 million, compared with GAAP operating income of $219 million, for the fiscal third quarter 2025. Non-GAAP operating income for the fiscal third quarter 2026 was $814 million, compared with non-GAAP operating income of $627 million for the fiscal third quarter 2025. A reconciliation between GAAP and non-GAAP information is contained in the tables below.</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GAAP net loss for the fiscal third quarter 2026 was $177 million, or ($0.22) per diluted share, compared with GAAP net income of $262 million, or $0.37 per diluted share, for the fiscal third quarter 2025. Non-GAAP net income for the fiscal third quarter 2026 was $684 million, or $0.85 per diluted share, compared with non-GAAP net income of $561 million, or $0.80 per diluted share, for the fiscal third quarter 2025. A reconciliation between GAAP and non-GAAP information is contained in the tables below.</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Net cash provided by operating activities for the fiscal third quarter 2026 was $871 million, compared with net cash provided by operating activities of $628 million, for the fiscal third quarter 2025. Adjusted free cash flow for fiscal third quarter 2026 was $910 million, compared with adjusted free cash flow of $578 million, for the fiscal third quarter 2025. Trailing 12-month adjusted free cash flow margin of 38.5% was up 430 basis points year over year. A reconciliation between GAAP and non-GAAP information is contained in the tables below.</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Financial Outlook</w:t>
      </w:r>
    </w:p>
    <w:p>
      <w:pPr>
        <w:pStyle w:val="TextBody"/>
        <w:bidi w:val="0"/>
        <w:spacing w:lineRule="auto" w:line="415" w:before="0" w:after="0"/>
        <w:jc w:val="left"/>
        <w:rPr>
          <w:rFonts w:ascii="Arial;sans-serif" w:hAnsi="Arial;sans-serif"/>
          <w:b w:val="false"/>
          <w:color w:val="000000"/>
          <w:sz w:val="24"/>
        </w:rPr>
      </w:pPr>
      <w:r>
        <w:rPr>
          <w:rFonts w:ascii="Arial;sans-serif" w:hAnsi="Arial;sans-serif"/>
          <w:b w:val="false"/>
          <w:color w:val="000000"/>
          <w:sz w:val="24"/>
        </w:rPr>
        <w:t>Palo Alto Networks provides guidance based on current market conditions and expectations.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For the fiscal fourth quarter 2026, we expect:</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Next-Generation Security ARR of $8.90 billion to $8.95 billion, representing year-over-year growth of 59% to 60%.</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Remaining performance obligation of $20.9 billion to $21.0 billion, representing year-over-year growth of 32% to 33%.</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Total revenue in the range of $3.345 billion to $3.355 billion, representing year-over-year growth of 32%.</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Diluted non-GAAP net income per share in the range of $0.96 to $0.98, using 830 million to 840 million shares outstanding.</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For the fiscal year 2026, we expect:</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Next-Generation Security ARR of $8.90 billion to $8.95 billion, representing year-over-year growth of 59% to 60%.</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Remaining performance obligation of $20.9 billion to $21.0 billion, representing year-over-year growth of 32% to 33%.</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Total revenue in the range of $11.415 billion to $11.425 billion, representing year-over-year growth of 24%.</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Non-GAAP operating margin in the range of 28.9% to 29.2%.</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Diluted non-GAAP net income per share in the range of $3.77 to $3.79, using 763 million to 766 million shares outstanding.</w:t>
      </w:r>
    </w:p>
    <w:p>
      <w:pPr>
        <w:pStyle w:val="TextBody"/>
        <w:bidi w:val="0"/>
        <w:spacing w:lineRule="auto" w:line="417" w:before="0" w:after="0"/>
        <w:ind w:left="0" w:right="0" w:hanging="360"/>
        <w:jc w:val="left"/>
        <w:rPr/>
      </w:pPr>
      <w:r>
        <w:rPr>
          <w:color w:val="000000"/>
        </w:rPr>
        <w:t>•</w:t>
      </w:r>
      <w:r>
        <w:rPr>
          <w:rFonts w:ascii="Arial;sans-serif" w:hAnsi="Arial;sans-serif"/>
          <w:b w:val="false"/>
          <w:color w:val="000000"/>
          <w:sz w:val="24"/>
        </w:rPr>
        <w:t>Adjusted free cash flow margin to be 37.5%.</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Guidance for non-GAAP financial measures excludes share-based compensation-related charges, including share-based payroll tax expense, acquisition-related costs, including change in fair value of contingent consideration liability, amortization expense of acquired intangible assets, litigation-related charges, non-cash charges related to convertible notes, change in fair value of convertible notes and capped calls, and income tax and other tax adjustments related to our long-term non-GAAP effective tax rate, along with certain non-recurring expenses and certain non-recurring cash flows. We have not reconciled non-GAAP operating margin guidance to GAAP operating margin, diluted non-GAAP net income per share guidance to GAAP net income (loss) per diluted share, or adjusted free cash flow margin guidance to GAAP net cash from operating activities because we do not provide guidance on GAAP operating margin, GAAP net income (loss) or net cash from operating activities and would not be able to present the various reconciling cash and non-cash items between GAAP and non-GAAP financial measures because certain items that impact these measures are uncertain or out of our control, or cannot be reasonably predicted, including share-based compensation expense, without unreasonable effort. The actual amounts of such reconciling items will have a significant impact on the company's GAAP net income (loss) per diluted share and GAAP net cash from operating activities.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Earnings Call Information</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Palo Alto Networks will host a video webcast for analysts and investors to discuss the company’s fiscal third quarter 2026 results as well as the outlook for its fiscal fourth quarter and fiscal year 2026 today at 4:30 p.m. Eastern time/1:30 p.m. Pacific time. Open to the public, investors may access the webcast, supplemental financial information and earnings slides from the "Investors" section of the company’s website at investors.paloaltonetworks.com. A replay will be available three hours after the conclusion of the webcast and archived for one year.</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Forward-Looking Statements</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This press release contains forward-looking statements that involve risks, uncertainties and assumptions including statements regarding our financial and operating results and financial outlook for the fiscal fourth quarter 2026 and fiscal year 2026. There are a significant number of factors that could cause actual results to differ materially from forward-looking statements made or implied in this press release, including: developments and changes in general or worldwide market, geopolitical, economic, and business conditions; failure of our platformization product offerings; failure to achieve the expected benefits of our strategic partnerships and acquisitions; changes in the fair value of our contingent consideration liability associated with acquisitions; changes in the fair value of our convertible senior notes and capped call transactions; our ability to successfully integrate the businesses, operations and technologies of companies and businesses that we acquire; the risk that the expected benefits and synergies of our acquisitions may not be fully achieved in a timely manner, or at all; the risk that we will be unable to retain and hire key personnel; significant and/or unanticipated difficulties, liabilities, or expenditures relating to our acquisitions; the effect of the announcement, pendency or completion of acquisitions on our (including the companies that we acquire) business relationships and business operations generally; the effect of our acquisitions on our common share price and uncertainty as to the long-term value of our common stock; risks related to disruption of management time from ongoing business operations due to our acquisitions; risks associated with managing our growth; risks associated with new product, subscription and support offerings, including our product offerings that leverage or incorporate AI and the expansion of our offerings into new categories, such as the identity security and observability spaces; shifts in priorities or delays in the development or release of new product or subscription or other offerings, or the failure to timely develop and achieve market acceptance of new products and subscriptions as well as existing products, subscriptions and support offerings; failure of our business strategies; rapidly evolving technological developments in the market for security products, subscriptions and support offerings; defects, errors, or vulnerabilities in our products, subscriptions or support offerings; our customers’ purchasing decisions and the length of sales cycles; our competition; our ability to attract and retain new customers; our ability to acquire and integrate other companies, products, or technologies in a successful manner; our debt repayment obligations; and our share repurchase program, which may not be fully consummated or enhance shareholder value, and any share repurchases which could affect the price of our common stock.</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For additional risks and uncertainties on these and other factors that could affect our financial results and cause actual results to differ materially from those described in the forward-looking statements we make in this press release are included under the captions "Risk Factors" and "Management's Discussion and Analysis of Financial Condition and Results of Operations" and elsewhere in our Quarterly Report on Form 10-Q filed with the U.S. Securities and Exchange Commission (SEC) on February 18, 2026, which is available on our website at investors.paloaltonetworks.com and on the SEC's website at www.sec.gov. Additional information will also be set forth in other documents that we file with or furnish to the SEC from time to time. All forward-looking statements in this press release are based on our current beliefs and information available to management as of the date hereof and are inherently uncertain, and we do not assume any obligation to update the forward-looking statements provided to reflect events that occur or circumstances that exist after the date on which they were made.</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Non-GAAP Financial Measures and Other Key Metrics</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Palo Alto Networks has provided in this press release financial information that has not been prepared in accordance with generally accepted accounting principles in the United States (GAAP). The company uses these non-GAAP financial measures and other key metrics internally in analyzing its financial results and believes that the use of these non-GAAP financial measures and key metrics are helpful to investors as an additional tool to evaluate ongoing operating results and trends, and in comparing the company’s financial results with other companies in its industry, many of which present similar non-GAAP financial measures or key metrics.</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The presentation of these non-GAAP financial measures and key metrics are not meant to be considered in isolation or as a substitute for comparable GAAP financial measures and should be read only in conjunction with the company’s consolidated financial statements prepared in accordance with GAAP. A reconciliation of the company’s historical non-GAAP financial measures to their most directly comparable GAAP measures has been provided in the financial statement tables included in this press release, and investors are encouraged to review these reconciliations.</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i/>
          <w:color w:val="000000"/>
          <w:sz w:val="24"/>
        </w:rPr>
        <w:t xml:space="preserve">Non-GAAP operating income. </w:t>
      </w:r>
      <w:r>
        <w:rPr>
          <w:rFonts w:ascii="Arial;sans-serif" w:hAnsi="Arial;sans-serif"/>
          <w:b w:val="false"/>
          <w:color w:val="000000"/>
          <w:sz w:val="24"/>
        </w:rPr>
        <w:t>Palo Alto Networks defines non-GAAP operating income as operating income (loss) plus share-based compensation-related charges, including share-based payroll tax expense, acquisition-related costs, including change in fair value of contingent consideration liability, amortization expense of acquired intangible assets, and litigation-related charges. The company believes that non-GAAP operating income provides management and investors with greater visibility into the underlying performance of the company’s core business operating results.</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i/>
          <w:color w:val="000000"/>
          <w:sz w:val="24"/>
        </w:rPr>
        <w:t>Non-GAAP net income and net income per share, diluted.</w:t>
      </w:r>
      <w:r>
        <w:rPr>
          <w:color w:val="000000"/>
        </w:rPr>
        <w:t xml:space="preserve"> </w:t>
      </w:r>
      <w:r>
        <w:rPr>
          <w:rFonts w:ascii="Arial;sans-serif" w:hAnsi="Arial;sans-serif"/>
          <w:b w:val="false"/>
          <w:color w:val="000000"/>
          <w:sz w:val="24"/>
        </w:rPr>
        <w:t>Palo Alto Networks defines non-GAAP net income as net income (loss) plus share-based compensation-related charges, including share-based payroll tax expense, acquisition-related costs, including change in fair value of contingent consideration liability, amortization expense of acquired intangible assets, litigation-related charges, non-cash charges related to convertible notes, and change in fair value of convertible notes and capped calls. The company also excludes from non-GAAP net income tax adjustments related to our long-term non-GAAP effective tax rate in order to provide a complete picture of the company’s recurring core business operating results. The company defines non-GAAP net income per share, diluted, as non-GAAP net income divided by the weighted-average diluted shares outstanding, which includes the potentially dilutive effect of the company’s employee equity incentive plan awards and the company’s convertible senior notes and related warrants, after giving effect to the anti-dilutive impact of the company’s note hedge agreements and capped call transactions, which reduced the potential economic dilution that otherwise would have occurred in connection with the conversion and settlement of the company’s convertible senior notes. Under GAAP, the anti-dilutive impact of the note hedge or capped calls is not reflected in diluted shares outstanding. The company considers these non-GAAP financial measures to be useful metrics for management and investors for the same reasons that it uses non-GAAP operating income.</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i/>
          <w:color w:val="000000"/>
          <w:sz w:val="24"/>
        </w:rPr>
        <w:t xml:space="preserve">Adjusted free cash flow margin, adjusted free cash flow, and free cash flow. </w:t>
      </w:r>
      <w:r>
        <w:rPr>
          <w:rFonts w:ascii="Arial;sans-serif" w:hAnsi="Arial;sans-serif"/>
          <w:b w:val="false"/>
          <w:color w:val="000000"/>
          <w:sz w:val="24"/>
        </w:rPr>
        <w:t xml:space="preserve">Palo Alto Networks defines adjusted free cash flow margin, a non-GAAP measure, as adjusted free cash flow divided by total revenue. The company defines adjusted free cash flow, a non-GAAP measure, as free cash flow, plus certain capital expenditures for our headquarters and certain corporate assets, plus payments of acquisition-related costs, plus litigation-related payments. The company defines free cash flow, a non-GAAP measure, as cash provided by operating activities less purchases of property, equipment, and other assets. We consider free cash flow, adjusted free cash flow, and adjusted free cash flow margin to be operating metrics as well as profitability and liquidity measures that provide useful information to management and investors about the amount of cash generated by the business after necessary capital expenditures and before the impact of certain qualifying non-recurring cash payments from operating activities, as applicable. A limitation of the utility of free cash flow or adjusted free cash flow as a measure of our financial performance and liquidity is that it does not represent the total increase or decrease in our cash balance for the period. In addition, it is important to note that other companies, including companies in our industry, may not use free cash flow or adjusted free cash flow, may calculate free cash flow or adjusted free cash flow in a different manner than we do, or may use other financial measures to evaluate their performance, all of which could reduce the usefulness of free cash flow or adjusted free cash flow as a comparative measure. </w:t>
      </w:r>
    </w:p>
    <w:p>
      <w:pPr>
        <w:pStyle w:val="TextBody"/>
        <w:bidi w:val="0"/>
        <w:spacing w:before="0" w:after="0"/>
        <w:jc w:val="left"/>
        <w:rPr/>
      </w:pPr>
      <w:r>
        <w:rPr/>
      </w:r>
    </w:p>
    <w:p>
      <w:pPr>
        <w:pStyle w:val="TextBody"/>
        <w:bidi w:val="0"/>
        <w:spacing w:lineRule="auto" w:line="417" w:before="0" w:after="0"/>
        <w:jc w:val="left"/>
        <w:rPr/>
      </w:pPr>
      <w:r>
        <w:rPr>
          <w:rFonts w:ascii="Arial;sans-serif" w:hAnsi="Arial;sans-serif"/>
          <w:b w:val="false"/>
          <w:i/>
          <w:color w:val="000000"/>
          <w:sz w:val="24"/>
        </w:rPr>
        <w:t xml:space="preserve">Next-Generation Security ARR. </w:t>
      </w:r>
      <w:r>
        <w:rPr>
          <w:rFonts w:ascii="Arial;sans-serif" w:hAnsi="Arial;sans-serif"/>
          <w:b w:val="false"/>
          <w:color w:val="000000"/>
          <w:sz w:val="24"/>
        </w:rPr>
        <w:t>Palo Alto Networks defines Next-Generation Security ARR as the annualized allocated revenue of all active contracts as of the final day of the reporting period related to all product, subscription and support offerings, excluding revenue from hardware products, and legacy attached subscriptions, support offerings and professional services. The company considers Next-Generation Security ARR to be a useful operating metric for management and investors to assess the performance of the company because Next-Generation Security is where the company has focused its innovation and the company expects its overall revenue to be disproportionately driven by this Next-Generation Security portfolio. Because Next-Generation Security ARR does not have the effect of providing a numerical measure that is different from any comparable GAAP measure, the company does not consider it a non-GAAP measure.</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Investors are cautioned that there are a number of limitations associated with the use of non-GAAP financial measures and key metrics as analytical tools. Many of the adjustments to the company’s GAAP financial measures reflect the exclusion of items that are recurring and will be reflected in the company’s financial results for the foreseeable future, such as share-based compensation, which is an important part of Palo Alto Networks employees’ compensation and impacts their performance. Furthermore, these non-GAAP financial measures are not based on any standardized methodology prescribed by GAAP, and the components that Palo Alto Networks excludes in its calculation of non-GAAP financial measures may differ from the components that its peer companies exclude when they report their non-GAAP results of operations. Palo Alto Networks compensates for these limitations by providing specific information regarding the GAAP amounts excluded from these non-GAAP financial measures. In the future, the company may also exclude non-recurring expenses and other expenses that do not reflect the company’s core business operating results.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About Palo Alto Networks</w:t>
      </w:r>
    </w:p>
    <w:p>
      <w:pPr>
        <w:pStyle w:val="TextBody"/>
        <w:bidi w:val="0"/>
        <w:spacing w:lineRule="auto" w:line="417" w:before="0" w:after="0"/>
        <w:jc w:val="left"/>
        <w:rPr/>
      </w:pPr>
      <w:r>
        <w:rPr>
          <w:rFonts w:ascii="Arial;sans-serif" w:hAnsi="Arial;sans-serif"/>
          <w:b w:val="false"/>
          <w:color w:val="000000"/>
          <w:sz w:val="24"/>
        </w:rPr>
        <w:t>Palo Alto Networks® (NASDAQ: PANW), the global AI cybersecurity leader, protects our digital way of life with a comprehensive portfolio of cybersecurity solutions and platforms across Network, Cloud, Security Operations, AI and Identity. Trusted by 70,000+ customers and powered by Unit 42</w:t>
      </w:r>
      <w:r>
        <w:rPr>
          <w:rFonts w:ascii="null;sans-serif" w:hAnsi="null;sans-serif"/>
          <w:b w:val="false"/>
          <w:color w:val="000000"/>
          <w:sz w:val="24"/>
        </w:rPr>
        <w:t>®</w:t>
      </w:r>
      <w:r>
        <w:rPr>
          <w:color w:val="000000"/>
        </w:rPr>
        <w:t xml:space="preserve"> </w:t>
      </w:r>
      <w:r>
        <w:rPr>
          <w:rFonts w:ascii="Arial;sans-serif" w:hAnsi="Arial;sans-serif"/>
          <w:b w:val="false"/>
          <w:color w:val="000000"/>
          <w:sz w:val="24"/>
        </w:rPr>
        <w:t>threat intelligence, our AI-driven platforms eliminate complexity, empowering enterprises to modernize with confidence and securing the speed of innovation. Explore the future of security at www.paloaltonetworks.com.</w:t>
      </w:r>
    </w:p>
    <w:p>
      <w:pPr>
        <w:pStyle w:val="TextBody"/>
        <w:bidi w:val="0"/>
        <w:spacing w:before="0" w:after="0"/>
        <w:jc w:val="left"/>
        <w:rPr/>
      </w:pPr>
      <w:r>
        <w:rPr/>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Palo Alto Networks and the Palo Alto Networks logo are trademarks of Palo Alto Networks, Inc. in the United States or in certain jurisdictions throughout the world. All other trademarks, trade names, or service marks used or mentioned herein belong to their respective owners. Any unreleased services or features (and any services or features not generally available to customers) referenced in this or other press releases or public statements are not currently available (or are not yet generally available to customers) and may not be delivered when expected or at all. Customers who purchase Palo Alto Networks applications should make their purchase decisions based on services and features currently generally available.</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Media Contact:</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Allie Cefalo Morales</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VP, Global Communications, Palo Alto Networks</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press@paloaltonetworks.com</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000000"/>
          <w:sz w:val="24"/>
        </w:rPr>
      </w:pPr>
      <w:r>
        <w:rPr>
          <w:rFonts w:ascii="Arial;sans-serif" w:hAnsi="Arial;sans-serif"/>
          <w:b/>
          <w:color w:val="000000"/>
          <w:sz w:val="24"/>
        </w:rPr>
        <w:t>Investor Relations Contact:</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Ryan Fenwick</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Director, Investor Relations &amp; Strategic Finance, Palo Alto Networks</w:t>
      </w:r>
    </w:p>
    <w:p>
      <w:pPr>
        <w:pStyle w:val="TextBody"/>
        <w:bidi w:val="0"/>
        <w:spacing w:lineRule="auto" w:line="417" w:before="0" w:after="0"/>
        <w:jc w:val="left"/>
        <w:rPr>
          <w:rFonts w:ascii="Arial;sans-serif" w:hAnsi="Arial;sans-serif"/>
          <w:b w:val="false"/>
          <w:color w:val="000000"/>
          <w:sz w:val="24"/>
        </w:rPr>
      </w:pPr>
      <w:r>
        <w:rPr>
          <w:rFonts w:ascii="Arial;sans-serif" w:hAnsi="Arial;sans-serif"/>
          <w:b w:val="false"/>
          <w:color w:val="000000"/>
          <w:sz w:val="24"/>
        </w:rPr>
        <w:t>ir@paloaltonetworks.com</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310"/>
                <wp:effectExtent l="0" t="0" r="0" b="0"/>
                <wp:wrapNone/>
                <wp:docPr id="4" name="Frame4"/>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960"/>
        <w:gridCol w:w="1600"/>
        <w:gridCol w:w="1624"/>
        <w:gridCol w:w="229"/>
        <w:gridCol w:w="620"/>
        <w:gridCol w:w="118"/>
        <w:gridCol w:w="118"/>
        <w:gridCol w:w="118"/>
        <w:gridCol w:w="118"/>
        <w:gridCol w:w="229"/>
        <w:gridCol w:w="555"/>
        <w:gridCol w:w="118"/>
        <w:gridCol w:w="118"/>
        <w:gridCol w:w="118"/>
        <w:gridCol w:w="118"/>
        <w:gridCol w:w="229"/>
        <w:gridCol w:w="669"/>
        <w:gridCol w:w="118"/>
        <w:gridCol w:w="118"/>
        <w:gridCol w:w="118"/>
        <w:gridCol w:w="118"/>
        <w:gridCol w:w="229"/>
        <w:gridCol w:w="669"/>
        <w:gridCol w:w="176"/>
      </w:tblGrid>
      <w:tr>
        <w:trPr/>
        <w:tc>
          <w:tcPr>
            <w:tcW w:w="1960"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Palo Alto Networks,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Preliminary Condensed Consolidated Statements of Operations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 except per share data)</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r>
      <w:tr>
        <w:trPr/>
        <w:tc>
          <w:tcPr>
            <w:tcW w:w="5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w:t>
            </w:r>
          </w:p>
        </w:tc>
      </w:tr>
      <w:tr>
        <w:trPr/>
        <w:tc>
          <w:tcPr>
            <w:tcW w:w="5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April 30,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April 30,</w:t>
            </w:r>
          </w:p>
        </w:tc>
      </w:tr>
      <w:tr>
        <w:trPr/>
        <w:tc>
          <w:tcPr>
            <w:tcW w:w="5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w:t>
            </w:r>
          </w:p>
        </w:tc>
        <w:tc>
          <w:tcPr>
            <w:tcW w:w="9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 and support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w:t>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6,685 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revenue:</w:t>
            </w:r>
          </w:p>
        </w:tc>
        <w:tc>
          <w:tcPr>
            <w:tcW w:w="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Product</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Subscription and support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cost of revenue</w:t>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gross profit</w:t>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4,913 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Research and development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Sales and marketing</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5,250 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8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8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(loss) before income taxes</w:t>
            </w:r>
          </w:p>
        </w:tc>
        <w:tc>
          <w:tcPr>
            <w:tcW w:w="8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1,004 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Provision for income taxes</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basic</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share, diluted</w:t>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0.79 </w:t>
            </w:r>
          </w:p>
        </w:tc>
        <w:tc>
          <w:tcPr>
            <w:tcW w:w="11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7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net income (loss) per share, basic</w:t>
            </w:r>
          </w:p>
        </w:tc>
        <w:tc>
          <w:tcPr>
            <w:tcW w:w="8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shares used to compute net income (loss) per share, diluted</w:t>
            </w:r>
          </w:p>
        </w:tc>
        <w:tc>
          <w:tcPr>
            <w:tcW w:w="849"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1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310"/>
                <wp:effectExtent l="0" t="0" r="0" b="0"/>
                <wp:wrapNone/>
                <wp:docPr id="5" name="Frame5"/>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076"/>
        <w:gridCol w:w="1789"/>
        <w:gridCol w:w="1678"/>
        <w:gridCol w:w="213"/>
        <w:gridCol w:w="574"/>
        <w:gridCol w:w="109"/>
        <w:gridCol w:w="109"/>
        <w:gridCol w:w="109"/>
        <w:gridCol w:w="109"/>
        <w:gridCol w:w="213"/>
        <w:gridCol w:w="516"/>
        <w:gridCol w:w="109"/>
        <w:gridCol w:w="109"/>
        <w:gridCol w:w="109"/>
        <w:gridCol w:w="109"/>
        <w:gridCol w:w="213"/>
        <w:gridCol w:w="622"/>
        <w:gridCol w:w="109"/>
        <w:gridCol w:w="109"/>
        <w:gridCol w:w="109"/>
        <w:gridCol w:w="109"/>
        <w:gridCol w:w="213"/>
        <w:gridCol w:w="622"/>
        <w:gridCol w:w="168"/>
      </w:tblGrid>
      <w:tr>
        <w:trPr/>
        <w:tc>
          <w:tcPr>
            <w:tcW w:w="2076"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Palo Alto Networks,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Reconciliation of GAAP to Non-GAAP Financial Measures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 except per share amounts)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Nine Months Ended</w:t>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April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April 30,</w:t>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5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operating income (loss)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compensation-related charges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costs</w:t>
            </w:r>
            <w:r>
              <w:rPr>
                <w:rFonts w:ascii="Arial;sans-serif" w:hAnsi="Arial;sans-serif"/>
                <w:b w:val="false"/>
                <w:color w:val="000000"/>
                <w:sz w:val="12"/>
              </w:rPr>
              <w:t>(1)</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of acquired intangible assets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Litigation-related charges</w:t>
            </w:r>
            <w:r>
              <w:rPr>
                <w:rFonts w:ascii="Arial;sans-serif" w:hAnsi="Arial;sans-serif"/>
                <w:b w:val="false"/>
                <w:color w:val="000000"/>
                <w:sz w:val="12"/>
              </w:rPr>
              <w:t>(2)</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Non-GAAP operating income</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net income (loss)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compensation-related charges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costs</w:t>
            </w:r>
            <w:r>
              <w:rPr>
                <w:rFonts w:ascii="Arial;sans-serif" w:hAnsi="Arial;sans-serif"/>
                <w:b w:val="false"/>
                <w:color w:val="000000"/>
                <w:sz w:val="12"/>
              </w:rPr>
              <w:t>(1)</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of acquired intangible assets</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Litigation-related charges</w:t>
            </w:r>
            <w:r>
              <w:rPr>
                <w:rFonts w:ascii="Arial;sans-serif" w:hAnsi="Arial;sans-serif"/>
                <w:b w:val="false"/>
                <w:color w:val="000000"/>
                <w:sz w:val="12"/>
              </w:rPr>
              <w:t>(2)</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fair value of convertible notes and capped calls</w:t>
            </w:r>
            <w:r>
              <w:rPr>
                <w:rFonts w:ascii="Arial;sans-serif" w:hAnsi="Arial;sans-serif"/>
                <w:b w:val="false"/>
                <w:color w:val="000000"/>
                <w:sz w:val="12"/>
              </w:rPr>
              <w:t>(3)</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 and other tax adjustments</w:t>
            </w:r>
            <w:r>
              <w:rPr>
                <w:rFonts w:ascii="Arial;sans-serif" w:hAnsi="Arial;sans-serif"/>
                <w:b w:val="false"/>
                <w:color w:val="000000"/>
                <w:sz w:val="12"/>
              </w:rPr>
              <w:t>(4)</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net income</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1,672 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net income (loss) per share, diluted</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compensation-related charges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Acquisition-related costs</w:t>
            </w:r>
            <w:r>
              <w:rPr>
                <w:rFonts w:ascii="Arial;sans-serif" w:hAnsi="Arial;sans-serif"/>
                <w:b w:val="false"/>
                <w:color w:val="000000"/>
                <w:sz w:val="12"/>
              </w:rPr>
              <w:t>(1)</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expense of acquired intangible assets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Litigation-related charges</w:t>
            </w:r>
            <w:r>
              <w:rPr>
                <w:rFonts w:ascii="Arial;sans-serif" w:hAnsi="Arial;sans-serif"/>
                <w:b w:val="false"/>
                <w:color w:val="000000"/>
                <w:sz w:val="12"/>
              </w:rPr>
              <w:t>(2)</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Change in fair value of convertible notes and capped calls</w:t>
            </w:r>
            <w:r>
              <w:rPr>
                <w:rFonts w:ascii="Arial;sans-serif" w:hAnsi="Arial;sans-serif"/>
                <w:b w:val="false"/>
                <w:color w:val="000000"/>
                <w:sz w:val="12"/>
              </w:rPr>
              <w:t>(3)</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 and other tax adjustments</w:t>
            </w:r>
            <w:r>
              <w:rPr>
                <w:rFonts w:ascii="Arial;sans-serif" w:hAnsi="Arial;sans-serif"/>
                <w:b w:val="false"/>
                <w:color w:val="000000"/>
                <w:sz w:val="12"/>
              </w:rPr>
              <w:t>(4)</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net income per share, diluted</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GAAP weighted-average shares used to compute net income (loss) per share, diluted</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Weighted-average dilutive effect of potentially dilutive securities</w:t>
            </w:r>
            <w:r>
              <w:rPr>
                <w:rFonts w:ascii="Arial;sans-serif" w:hAnsi="Arial;sans-serif"/>
                <w:b w:val="false"/>
                <w:color w:val="000000"/>
                <w:sz w:val="12"/>
              </w:rPr>
              <w:t>(5)</w:t>
            </w:r>
          </w:p>
        </w:tc>
        <w:tc>
          <w:tcPr>
            <w:tcW w:w="7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anti-dilutive impact of note hedge agreements</w:t>
            </w:r>
          </w:p>
        </w:tc>
        <w:tc>
          <w:tcPr>
            <w:tcW w:w="7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Non-GAAP weighted-average shares used to compute net income per share, diluted</w:t>
            </w:r>
          </w:p>
        </w:tc>
        <w:tc>
          <w:tcPr>
            <w:tcW w:w="78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3" w:type="dxa"/>
            <w:gridSpan w:val="3"/>
            <w:tcBorders/>
            <w:vAlign w:val="center"/>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r>
        <w:trPr/>
        <w:tc>
          <w:tcPr>
            <w:tcW w:w="5543" w:type="dxa"/>
            <w:gridSpan w:val="3"/>
            <w:tcBorders/>
            <w:vAlign w:val="center"/>
          </w:tcPr>
          <w:p>
            <w:pPr>
              <w:pStyle w:val="TableContents"/>
              <w:bidi w:val="0"/>
              <w:spacing w:before="0" w:after="283"/>
              <w:jc w:val="left"/>
              <w:rPr>
                <w:sz w:val="4"/>
                <w:szCs w:val="4"/>
              </w:rPr>
            </w:pPr>
            <w:r>
              <w:rPr>
                <w:sz w:val="4"/>
                <w:szCs w:val="4"/>
              </w:rPr>
            </w:r>
          </w:p>
        </w:tc>
        <w:tc>
          <w:tcPr>
            <w:tcW w:w="8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74" w:type="dxa"/>
            <w:gridSpan w:val="9"/>
            <w:tcBorders/>
          </w:tcPr>
          <w:p>
            <w:pPr>
              <w:pStyle w:val="TableContents"/>
              <w:bidi w:val="0"/>
              <w:spacing w:before="0" w:after="283"/>
              <w:jc w:val="left"/>
              <w:rPr>
                <w:sz w:val="4"/>
                <w:szCs w:val="4"/>
              </w:rPr>
            </w:pPr>
            <w:r>
              <w:rPr>
                <w:sz w:val="4"/>
                <w:szCs w:val="4"/>
              </w:rPr>
            </w:r>
          </w:p>
        </w:tc>
      </w:tr>
    </w:tbl>
    <w:p>
      <w:pPr>
        <w:pStyle w:val="TextBody"/>
        <w:bidi w:val="0"/>
        <w:spacing w:before="120" w:after="60"/>
        <w:ind w:left="0" w:right="0" w:hanging="450"/>
        <w:jc w:val="left"/>
        <w:rPr/>
      </w:pPr>
      <w:r>
        <w:rPr/>
      </w:r>
    </w:p>
    <w:p>
      <w:pPr>
        <w:pStyle w:val="TextBody"/>
        <w:bidi w:val="0"/>
        <w:spacing w:lineRule="auto" w:line="288" w:before="120" w:after="60"/>
        <w:ind w:left="0" w:right="0" w:hanging="450"/>
        <w:jc w:val="left"/>
        <w:rPr/>
      </w:pPr>
      <w:r>
        <w:rPr>
          <w:rFonts w:ascii="Arial;sans-serif" w:hAnsi="Arial;sans-serif"/>
          <w:b w:val="false"/>
          <w:color w:val="000000"/>
          <w:sz w:val="16"/>
        </w:rPr>
        <w:t>(1)</w:t>
      </w:r>
      <w:r>
        <w:rPr>
          <w:color w:val="000000"/>
        </w:rPr>
        <w:t>    </w:t>
      </w:r>
      <w:r>
        <w:rPr>
          <w:rFonts w:ascii="Arial;sans-serif" w:hAnsi="Arial;sans-serif"/>
          <w:b w:val="false"/>
          <w:color w:val="000000"/>
          <w:sz w:val="16"/>
        </w:rPr>
        <w:t>Consists of acquisition transaction costs, share-based compensation related to the cash settlement of certain equity awards, change in fair value of contingent consideration liability, and costs to terminate certain employment, operating lease, and other contracts of the acquired companies. During the three and nine months ended April 30, 2026, it also includes integration costs related to our acquisition of CyberArk Software Ltd.</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(2)    Consists of the amortization of intellectual property licenses and covenant not to sue, and legal contingency charges (credit). During the nine months ended April 30, 2026, it also includes a litigation settlement charge.</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(3)    Consists of changes in fair value of convertible senior notes acquired from CyberArk Software Ltd. that are included in earnings and changes in fair value of the related capped calls. During the nine months ended April 30, 2025, it also includes non-cash interest expense for amortization of debt issuance costs related to the company's convertible senior notes.</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 xml:space="preserve">(4)    Consists of income tax adjustments related to our long-term non-GAAP effective tax rate. </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(5)    Consists of potentially dilutive effect of employee equity incentive plan awards in periods with GAAP net loss position as they are excluded from GAAP weighted-average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310"/>
                <wp:effectExtent l="0" t="0" r="0" b="0"/>
                <wp:wrapNone/>
                <wp:docPr id="6" name="Frame6"/>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678"/>
        <w:gridCol w:w="1431"/>
        <w:gridCol w:w="1437"/>
        <w:gridCol w:w="233"/>
        <w:gridCol w:w="515"/>
        <w:gridCol w:w="299"/>
        <w:gridCol w:w="120"/>
        <w:gridCol w:w="120"/>
        <w:gridCol w:w="120"/>
        <w:gridCol w:w="233"/>
        <w:gridCol w:w="515"/>
        <w:gridCol w:w="299"/>
        <w:gridCol w:w="120"/>
        <w:gridCol w:w="120"/>
        <w:gridCol w:w="120"/>
        <w:gridCol w:w="233"/>
        <w:gridCol w:w="681"/>
        <w:gridCol w:w="299"/>
        <w:gridCol w:w="120"/>
        <w:gridCol w:w="120"/>
        <w:gridCol w:w="120"/>
        <w:gridCol w:w="233"/>
        <w:gridCol w:w="681"/>
        <w:gridCol w:w="358"/>
      </w:tblGrid>
      <w:tr>
        <w:trPr/>
        <w:tc>
          <w:tcPr>
            <w:tcW w:w="1678"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Palo Alto Networks, Inc.</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Reconciliation of GAAP to Non-GAAP Financial Measures (Continued)</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(Unaudited)</w:t>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Trailing 12-Month Ended</w:t>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April 30,</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April 30,</w:t>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4,217 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purchases of property, equipment, and other assets</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Free cash flow (non-GAAP)</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3,793 </w:t>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Add: capital expenditures for headquarters</w:t>
            </w:r>
            <w:r>
              <w:rPr>
                <w:rFonts w:ascii="Arial;sans-serif" w:hAnsi="Arial;sans-serif"/>
                <w:b w:val="false"/>
                <w:color w:val="000000"/>
                <w:sz w:val="12"/>
              </w:rPr>
              <w:t>(1)</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Add: capital expenditures for certain corporate assets</w:t>
            </w:r>
            <w:r>
              <w:rPr>
                <w:rFonts w:ascii="Arial;sans-serif" w:hAnsi="Arial;sans-serif"/>
                <w:b w:val="false"/>
                <w:color w:val="000000"/>
                <w:sz w:val="12"/>
              </w:rPr>
              <w:t>(2)</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Add: payments of acquisition-related costs</w:t>
            </w:r>
            <w:r>
              <w:rPr>
                <w:rFonts w:ascii="Arial;sans-serif" w:hAnsi="Arial;sans-serif"/>
                <w:b w:val="false"/>
                <w:color w:val="000000"/>
                <w:sz w:val="12"/>
              </w:rPr>
              <w:t>(3)</w:t>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54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Add: litigation related payment</w:t>
            </w:r>
            <w:r>
              <w:rPr>
                <w:rFonts w:ascii="Arial;sans-serif" w:hAnsi="Arial;sans-serif"/>
                <w:b w:val="false"/>
                <w:color w:val="000000"/>
                <w:sz w:val="12"/>
              </w:rPr>
              <w:t>(4)</w:t>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free cash flow (non-GAAP)</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4,079 </w:t>
            </w:r>
          </w:p>
        </w:tc>
        <w:tc>
          <w:tcPr>
            <w:tcW w:w="2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3,038 </w:t>
            </w:r>
          </w:p>
        </w:tc>
        <w:tc>
          <w:tcPr>
            <w:tcW w:w="3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54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45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Adjusted free cash flow margin (non-GAAP)</w:t>
            </w:r>
          </w:p>
        </w:tc>
        <w:tc>
          <w:tcPr>
            <w:tcW w:w="7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30.3 </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25.3 </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38.5 </w:t>
            </w:r>
          </w:p>
        </w:tc>
        <w:tc>
          <w:tcPr>
            <w:tcW w:w="2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34.2 </w:t>
            </w:r>
          </w:p>
        </w:tc>
        <w:tc>
          <w:tcPr>
            <w:tcW w:w="35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r>
    </w:tbl>
    <w:p>
      <w:pPr>
        <w:pStyle w:val="TextBody"/>
        <w:bidi w:val="0"/>
        <w:spacing w:before="0" w:after="0"/>
        <w:jc w:val="left"/>
        <w:rPr/>
      </w:pPr>
      <w:r>
        <w:rPr/>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(1)    Consists of a land purchase of $91 million.</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(2)    Consists of a one-time purchase of a corporate asset which is expected to be paid through July 2026.</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(3)    Consists of payments of acquisition-related costs in connection with our acquisitions of CyberArk Software Ltd. and Koi Security Ltd.</w:t>
      </w:r>
    </w:p>
    <w:p>
      <w:pPr>
        <w:pStyle w:val="TextBody"/>
        <w:bidi w:val="0"/>
        <w:spacing w:lineRule="auto" w:line="288" w:before="120" w:after="60"/>
        <w:ind w:left="0" w:right="0" w:hanging="450"/>
        <w:jc w:val="left"/>
        <w:rPr>
          <w:rFonts w:ascii="Arial;sans-serif" w:hAnsi="Arial;sans-serif"/>
          <w:b w:val="false"/>
          <w:color w:val="000000"/>
          <w:sz w:val="16"/>
        </w:rPr>
      </w:pPr>
      <w:r>
        <w:rPr>
          <w:rFonts w:ascii="Arial;sans-serif" w:hAnsi="Arial;sans-serif"/>
          <w:b w:val="false"/>
          <w:color w:val="000000"/>
          <w:sz w:val="16"/>
        </w:rPr>
        <w:t>(4)    Consists of non-recurring litigation settlement payments during the three months ended July 31, 2024 and January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310"/>
                <wp:effectExtent l="0" t="0" r="0" b="0"/>
                <wp:wrapNone/>
                <wp:docPr id="7" name="Frame7"/>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tbl>
      <w:tblPr>
        <w:tblW w:w="8249" w:type="dxa"/>
        <w:jc w:val="left"/>
        <w:tblInd w:w="0" w:type="dxa"/>
        <w:tblLayout w:type="fixed"/>
        <w:tblCellMar>
          <w:top w:w="28" w:type="dxa"/>
          <w:left w:w="28" w:type="dxa"/>
          <w:bottom w:w="28" w:type="dxa"/>
          <w:right w:w="28" w:type="dxa"/>
        </w:tblCellMar>
      </w:tblPr>
      <w:tblGrid>
        <w:gridCol w:w="1482"/>
        <w:gridCol w:w="1300"/>
        <w:gridCol w:w="1312"/>
        <w:gridCol w:w="357"/>
        <w:gridCol w:w="1222"/>
        <w:gridCol w:w="184"/>
        <w:gridCol w:w="184"/>
        <w:gridCol w:w="184"/>
        <w:gridCol w:w="184"/>
        <w:gridCol w:w="357"/>
        <w:gridCol w:w="1222"/>
        <w:gridCol w:w="261"/>
      </w:tblGrid>
      <w:tr>
        <w:trPr/>
        <w:tc>
          <w:tcPr>
            <w:tcW w:w="1482"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r>
      <w:tr>
        <w:trPr/>
        <w:tc>
          <w:tcPr>
            <w:tcW w:w="82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Palo Alto Networks, Inc.</w:t>
            </w:r>
          </w:p>
        </w:tc>
      </w:tr>
      <w:tr>
        <w:trPr/>
        <w:tc>
          <w:tcPr>
            <w:tcW w:w="82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Preliminary Condensed Consolidated Balance Sheets</w:t>
            </w:r>
          </w:p>
        </w:tc>
      </w:tr>
      <w:tr>
        <w:trPr/>
        <w:tc>
          <w:tcPr>
            <w:tcW w:w="824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 millions)</w:t>
            </w:r>
          </w:p>
        </w:tc>
      </w:tr>
      <w:tr>
        <w:trPr/>
        <w:tc>
          <w:tcPr>
            <w:tcW w:w="8249"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April 30, 2026</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July 31, 2025</w:t>
            </w:r>
          </w:p>
        </w:tc>
      </w:tr>
      <w:tr>
        <w:trPr/>
        <w:tc>
          <w:tcPr>
            <w:tcW w:w="4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(unaudited)</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Current assets: </w:t>
            </w:r>
          </w:p>
        </w:tc>
        <w:tc>
          <w:tcPr>
            <w:tcW w:w="1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net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2,965 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financing receivables, net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deferred contract costs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current assets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current assets </w:t>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7,713 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7,523 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and equipment, net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lease right-of-use assets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investments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3,881 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5,555 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financing receivables, net</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deferred contract costs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21,902 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4,567 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Intangible assets, net</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7,283 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tax assets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2,424 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assets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46,266 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23,576 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stockholders’ equity</w:t>
            </w:r>
          </w:p>
        </w:tc>
        <w:tc>
          <w:tcPr>
            <w:tcW w:w="1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Current liabilities: </w:t>
            </w:r>
          </w:p>
        </w:tc>
        <w:tc>
          <w:tcPr>
            <w:tcW w:w="17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Accounts payable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Accrued and other liabilities </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revenue</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7,113 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6,302 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convertible senior notes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current liabilities </w:t>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9,006 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7,988 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convertible senior notes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deferred revenue</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6,450 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tax liabilities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operating lease liabilities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liabilities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18,598 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15,752 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vAlign w:val="center"/>
          </w:tcPr>
          <w:p>
            <w:pPr>
              <w:pStyle w:val="TableContents"/>
              <w:bidi w:val="0"/>
              <w:spacing w:before="0" w:after="283"/>
              <w:jc w:val="left"/>
              <w:rPr>
                <w:sz w:val="4"/>
                <w:szCs w:val="4"/>
              </w:rPr>
            </w:pPr>
            <w:r>
              <w:rPr>
                <w:sz w:val="4"/>
                <w:szCs w:val="4"/>
              </w:rPr>
            </w:r>
          </w:p>
        </w:tc>
        <w:tc>
          <w:tcPr>
            <w:tcW w:w="1763" w:type="dxa"/>
            <w:gridSpan w:val="3"/>
            <w:tcBorders/>
            <w:vAlign w:val="center"/>
          </w:tcPr>
          <w:p>
            <w:pPr>
              <w:pStyle w:val="TableContents"/>
              <w:bidi w:val="0"/>
              <w:spacing w:before="0" w:after="283"/>
              <w:jc w:val="left"/>
              <w:rPr>
                <w:sz w:val="4"/>
                <w:szCs w:val="4"/>
              </w:rPr>
            </w:pPr>
            <w:r>
              <w:rPr>
                <w:sz w:val="4"/>
                <w:szCs w:val="4"/>
              </w:rPr>
            </w:r>
          </w:p>
        </w:tc>
        <w:tc>
          <w:tcPr>
            <w:tcW w:w="552" w:type="dxa"/>
            <w:gridSpan w:val="3"/>
            <w:tcBorders/>
            <w:vAlign w:val="center"/>
          </w:tcPr>
          <w:p>
            <w:pPr>
              <w:pStyle w:val="TableContents"/>
              <w:bidi w:val="0"/>
              <w:spacing w:before="0" w:after="283"/>
              <w:jc w:val="left"/>
              <w:rPr>
                <w:sz w:val="4"/>
                <w:szCs w:val="4"/>
              </w:rPr>
            </w:pPr>
            <w:r>
              <w:rPr>
                <w:sz w:val="4"/>
                <w:szCs w:val="4"/>
              </w:rPr>
            </w:r>
          </w:p>
        </w:tc>
        <w:tc>
          <w:tcPr>
            <w:tcW w:w="1840" w:type="dxa"/>
            <w:gridSpan w:val="3"/>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Stockholders’ equity: </w:t>
            </w:r>
          </w:p>
        </w:tc>
        <w:tc>
          <w:tcPr>
            <w:tcW w:w="17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and additional paid-in capital</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24,608 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Retained earnings</w:t>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stockholders’ equity</w:t>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27,668 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7,824 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stockholders’ equity</w:t>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46,266 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23,576 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310"/>
                <wp:effectExtent l="0" t="0" r="0" b="0"/>
                <wp:wrapNone/>
                <wp:docPr id="8" name="Frame8"/>
                <a:graphic xmlns:a="http://schemas.openxmlformats.org/drawingml/2006/main">
                  <a:graphicData uri="http://schemas.microsoft.com/office/word/2010/wordprocessingShape">
                    <wps:wsp>
                      <wps:cNvSpPr txBox="1"/>
                      <wps:spPr>
                        <a:xfrm>
                          <a:off x="0" y="0"/>
                          <a:ext cx="6480175" cy="321310"/>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nul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4442</Words>
  <Characters>25085</Characters>
  <CharactersWithSpaces>29248</CharactersWithSpaces>
  <Paragraphs>625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