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7047230" cy="42621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262120"/>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Arora Nikesh</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PALO ALTO NETWORKS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3000 TANNERY WAY</w:t>
      </w:r>
    </w:p>
    <w:p>
      <w:pPr>
        <w:spacing w:after="0" w:line="276"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SANTA CLARA CA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95054</w:t>
            </w:r>
          </w:p>
        </w:tc>
      </w:tr>
      <w:tr>
        <w:trPr>
          <w:trHeight w:val="146"/>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80"/>
              <w:spacing w:after="0" w:line="140"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Palo Alto Networks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PANW</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800" w:type="dxa"/>
            <w:vAlign w:val="bottom"/>
            <w:tcBorders>
              <w:bottom w:val="single" w:sz="8" w:color="0000EE"/>
            </w:tcBorders>
          </w:tcPr>
          <w:p>
            <w:pPr>
              <w:spacing w:after="0"/>
              <w:rPr>
                <w:sz w:val="3"/>
                <w:szCs w:val="3"/>
                <w:color w:val="auto"/>
              </w:rPr>
            </w:pPr>
          </w:p>
        </w:tc>
        <w:tc>
          <w:tcPr>
            <w:tcW w:w="18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800" w:type="dxa"/>
            <w:vAlign w:val="bottom"/>
            <w:tcBorders>
              <w:bottom w:val="single" w:sz="8" w:color="2C2C2C"/>
            </w:tcBorders>
          </w:tcPr>
          <w:p>
            <w:pPr>
              <w:spacing w:after="0"/>
              <w:rPr>
                <w:sz w:val="15"/>
                <w:szCs w:val="15"/>
                <w:color w:val="auto"/>
              </w:rPr>
            </w:pPr>
          </w:p>
        </w:tc>
        <w:tc>
          <w:tcPr>
            <w:tcW w:w="1840" w:type="dxa"/>
            <w:vAlign w:val="bottom"/>
            <w:tcBorders>
              <w:bottom w:val="single" w:sz="8" w:color="2C2C2C"/>
            </w:tcBorders>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78"/>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5"/>
                <w:szCs w:val="15"/>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5"/>
        </w:trPr>
        <w:tc>
          <w:tcPr>
            <w:tcW w:w="20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06/30/2026</w:t>
            </w: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0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0" w:type="dxa"/>
            <w:vAlign w:val="bottom"/>
          </w:tcPr>
          <w:p>
            <w:pPr>
              <w:spacing w:after="0"/>
              <w:rPr>
                <w:sz w:val="1"/>
                <w:szCs w:val="1"/>
                <w:color w:val="auto"/>
              </w:rPr>
            </w:pPr>
          </w:p>
        </w:tc>
      </w:tr>
      <w:tr>
        <w:trPr>
          <w:trHeight w:val="325"/>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359"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76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06/30/2026</w:t>
            </w:r>
          </w:p>
        </w:tc>
        <w:tc>
          <w:tcPr>
            <w:tcW w:w="1060" w:type="dxa"/>
            <w:vAlign w:val="bottom"/>
          </w:tcPr>
          <w:p>
            <w:pPr>
              <w:spacing w:after="0"/>
              <w:rPr>
                <w:sz w:val="21"/>
                <w:szCs w:val="21"/>
                <w:color w:val="auto"/>
              </w:rPr>
            </w:pPr>
          </w:p>
        </w:tc>
        <w:tc>
          <w:tcPr>
            <w:tcW w:w="800" w:type="dxa"/>
            <w:vAlign w:val="bottom"/>
          </w:tcPr>
          <w:p>
            <w:pPr>
              <w:ind w:left="140"/>
              <w:spacing w:after="0" w:line="241" w:lineRule="exact"/>
              <w:rPr>
                <w:sz w:val="20"/>
                <w:szCs w:val="20"/>
                <w:color w:val="auto"/>
              </w:rPr>
            </w:pPr>
            <w:r>
              <w:rPr>
                <w:rFonts w:ascii="Times New Roman" w:cs="Times New Roman" w:eastAsia="Times New Roman" w:hAnsi="Times New Roman"/>
                <w:sz w:val="25"/>
                <w:szCs w:val="25"/>
                <w:color w:val="0000FF"/>
                <w:vertAlign w:val="subscript"/>
              </w:rPr>
              <w:t>I</w:t>
            </w:r>
            <w:r>
              <w:rPr>
                <w:rFonts w:ascii="Times New Roman" w:cs="Times New Roman" w:eastAsia="Times New Roman" w:hAnsi="Times New Roman"/>
                <w:sz w:val="11"/>
                <w:szCs w:val="11"/>
                <w:color w:val="008000"/>
              </w:rPr>
              <w:t>(2)</w:t>
            </w:r>
          </w:p>
        </w:tc>
        <w:tc>
          <w:tcPr>
            <w:tcW w:w="84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865,090</w:t>
            </w: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jc w:val="right"/>
              <w:ind w:right="224"/>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865,090</w:t>
            </w: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2,093,369</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Palo Alto Networks, Inc. Deferred Compensation Plan (the "DCP"), each share of phantom stock represents the Reporting Person's right to receive one share of common stock of the Issuer.</w:t>
      </w:r>
    </w:p>
    <w:p>
      <w:pPr>
        <w:spacing w:after="0" w:line="41" w:lineRule="exact"/>
        <w:rPr>
          <w:rFonts w:ascii="Times New Roman" w:cs="Times New Roman" w:eastAsia="Times New Roman" w:hAnsi="Times New Roman"/>
          <w:sz w:val="13"/>
          <w:szCs w:val="13"/>
          <w:color w:val="008000"/>
        </w:rPr>
      </w:pPr>
    </w:p>
    <w:p>
      <w:pPr>
        <w:ind w:left="40" w:right="180"/>
        <w:spacing w:after="0" w:line="235"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does not constitute an open market sale of shares. This disposition reflects the Reporting Person's election to change the investment allocation within the DCP, which is an internal reallocation permitted under the terms of the DCP and exempt from Section 16(b) pursuant to Rule 16b-3(f). All distributions will be made in shares of the Issuer's common stock, and a portion will be released on or about February 2028 and another portion will be released on or about February 2036. Following this transaction, the Reporting Person maintains a significant equity position in the Issuer, including the shares of phantom stock held in the DCP reported herein and 726,542 shares of common stock.</w:t>
      </w:r>
    </w:p>
    <w:p>
      <w:pPr>
        <w:spacing w:after="0" w:line="51"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Elizabeth Villalobos,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-10160</wp:posOffset>
            </wp:positionV>
            <wp:extent cx="10064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06475"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Nikesh</w:t>
      </w:r>
      <w:r>
        <w:rPr>
          <w:sz w:val="20"/>
          <w:szCs w:val="20"/>
          <w:color w:val="auto"/>
        </w:rPr>
        <w:tab/>
      </w:r>
      <w:r>
        <w:rPr>
          <w:rFonts w:ascii="Times New Roman" w:cs="Times New Roman" w:eastAsia="Times New Roman" w:hAnsi="Times New Roman"/>
          <w:sz w:val="16"/>
          <w:szCs w:val="16"/>
          <w:color w:val="0000FF"/>
        </w:rPr>
        <w:t>07/02/2026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-17780</wp:posOffset>
            </wp:positionV>
            <wp:extent cx="18776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7769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Arora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-17780</wp:posOffset>
            </wp:positionV>
            <wp:extent cx="2451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45110" cy="8255"/>
                    </a:xfrm>
                    <a:prstGeom prst="rect">
                      <a:avLst/>
                    </a:prstGeom>
                    <a:noFill/>
                  </pic:spPr>
                </pic:pic>
              </a:graphicData>
            </a:graphic>
          </wp:anchor>
        </w:drawing>
      </w:r>
    </w:p>
    <w:p>
      <w:pPr>
        <w:spacing w:after="0" w:line="27"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468233" TargetMode="External"/><Relationship Id="rId14" Type="http://schemas.openxmlformats.org/officeDocument/2006/relationships/hyperlink" Target="http://www.sec.gov/cgi-bin/browse-edgar?action=getcompany&amp;CIK=00013275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2026-07-02T20:02:26Z</dcterms:created>
  <dcterms:modified xsi:type="dcterms:W3CDTF">2026-07-02T20:02:26Z</dcterms:modified>
</cp:coreProperties>
</file>